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市财金公司及权属企业2021年第二批“水城优才”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进入面试面谈范围人选</w:t>
      </w:r>
    </w:p>
    <w:bookmarkEnd w:id="0"/>
    <w:tbl>
      <w:tblPr>
        <w:tblStyle w:val="3"/>
        <w:tblW w:w="832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591"/>
        <w:gridCol w:w="2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聊城市财金建设发展有限公司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王丕峰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财务主管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盛锡菲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刘久飞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聊城市新城投资发展有限公司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副总经理(贸易板块)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傅东强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贸易岗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崔殿辉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贸易岗-应届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投资岗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鲍慧泽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聊城市财金城市发展有限公司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程肖博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张奉琴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聊城市财兴物业管理有限公司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物业项目管理岗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裴明川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宋玮杰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聊城泰岳置业有限公司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宫洪雷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安装主管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贺庆祥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市场开发部经理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聊城市财金清洁能源热力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杜广旺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刘立华</w:t>
            </w:r>
          </w:p>
        </w:tc>
      </w:tr>
    </w:tbl>
    <w:p>
      <w:pPr>
        <w:rPr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51249"/>
    <w:rsid w:val="09F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2021-05-31T09:35:00Z</dcterms:created>
  <dc:creator>易碎品</dc:creator>
  <cp:lastModifiedBy>易碎品</cp:lastModifiedBy>
  <dcterms:modified xsi:type="dcterms:W3CDTF">2021-05-31T09:36:27Z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ECE67217A9F94D34BBC3B3CAF7372744</vt:lpwstr>
  </property>
</Properties>
</file>